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36" w:rsidRPr="00AC1F36" w:rsidRDefault="00AC1F36" w:rsidP="00AC1F36">
      <w:pPr>
        <w:jc w:val="left"/>
        <w:rPr>
          <w:rFonts w:asciiTheme="minorEastAsia" w:hAnsiTheme="minorEastAsia" w:cs="仿宋" w:hint="eastAsia"/>
          <w:sz w:val="32"/>
          <w:szCs w:val="32"/>
        </w:rPr>
      </w:pPr>
      <w:r w:rsidRPr="00AC1F36">
        <w:rPr>
          <w:rFonts w:asciiTheme="minorEastAsia" w:hAnsiTheme="minorEastAsia" w:cs="仿宋" w:hint="eastAsia"/>
          <w:sz w:val="32"/>
          <w:szCs w:val="32"/>
        </w:rPr>
        <w:t>附件3：</w:t>
      </w:r>
    </w:p>
    <w:p w:rsidR="00B24C83" w:rsidRDefault="009C00E4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燕山大学课程</w:t>
      </w:r>
      <w:proofErr w:type="gramStart"/>
      <w:r>
        <w:rPr>
          <w:rFonts w:ascii="仿宋" w:eastAsia="仿宋" w:hAnsi="仿宋" w:cs="仿宋" w:hint="eastAsia"/>
          <w:b/>
          <w:sz w:val="36"/>
          <w:szCs w:val="36"/>
        </w:rPr>
        <w:t>思政教学</w:t>
      </w:r>
      <w:proofErr w:type="gramEnd"/>
      <w:r>
        <w:rPr>
          <w:rFonts w:ascii="仿宋" w:eastAsia="仿宋" w:hAnsi="仿宋" w:cs="仿宋" w:hint="eastAsia"/>
          <w:b/>
          <w:sz w:val="36"/>
          <w:szCs w:val="36"/>
        </w:rPr>
        <w:t>竞赛评分表</w:t>
      </w:r>
    </w:p>
    <w:p w:rsidR="00B24C83" w:rsidRPr="0026425D" w:rsidRDefault="009C00E4">
      <w:pPr>
        <w:jc w:val="left"/>
        <w:rPr>
          <w:rFonts w:ascii="仿宋_GB2312" w:eastAsia="仿宋_GB2312" w:hAnsi="仿宋_GB2312" w:cs="仿宋_GB2312"/>
          <w:b/>
          <w:bCs/>
          <w:szCs w:val="21"/>
        </w:rPr>
      </w:pPr>
      <w:r w:rsidRPr="0026425D">
        <w:rPr>
          <w:rFonts w:ascii="仿宋_GB2312" w:eastAsia="仿宋_GB2312" w:hAnsi="仿宋_GB2312" w:cs="仿宋_GB2312" w:hint="eastAsia"/>
          <w:b/>
          <w:bCs/>
          <w:szCs w:val="21"/>
        </w:rPr>
        <w:t>课程名称:                          任课教师:                        评委签字: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080"/>
        <w:gridCol w:w="5144"/>
        <w:gridCol w:w="1085"/>
        <w:gridCol w:w="1085"/>
      </w:tblGrid>
      <w:tr w:rsidR="00B24C83">
        <w:trPr>
          <w:cantSplit/>
          <w:trHeight w:val="8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评价</w:t>
            </w:r>
          </w:p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评分内容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得分</w:t>
            </w:r>
          </w:p>
        </w:tc>
      </w:tr>
      <w:tr w:rsidR="00B24C83" w:rsidTr="0035355A">
        <w:trPr>
          <w:cantSplit/>
          <w:trHeight w:val="126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教学</w:t>
            </w:r>
          </w:p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设计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C83" w:rsidRDefault="009C00E4" w:rsidP="006D756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="006D75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备课充分，精心设计教学</w:t>
            </w:r>
            <w:r w:rsidR="005A42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各个环节，有结合“课程思政”的教学目标、教学内容和教学方法设计。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6D756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B24C83" w:rsidP="0035355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4C83" w:rsidTr="006D756A">
        <w:trPr>
          <w:cantSplit/>
          <w:trHeight w:val="856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B24C8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B24C83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知识讲授符合高校学生认知规律和教学实际。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6D756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B24C83" w:rsidP="0035355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4C83" w:rsidTr="0035355A">
        <w:trPr>
          <w:cantSplit/>
          <w:trHeight w:val="126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教学</w:t>
            </w:r>
          </w:p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实施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C83" w:rsidRDefault="006D756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35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 w:rsidP="005A424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善于提炼专业课程蕴含的</w:t>
            </w:r>
            <w:r w:rsidR="005A42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思想政治教育元素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，能将思想</w:t>
            </w:r>
            <w:r w:rsidR="005A42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政治教育和专业知识传授融合，教学内容呈现恰当，教学活动组织合理。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B24C83" w:rsidP="0035355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4C83" w:rsidTr="0035355A">
        <w:trPr>
          <w:cantSplit/>
          <w:trHeight w:val="126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C83" w:rsidRDefault="00B24C8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C83" w:rsidRDefault="00B24C83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善于综合运用现代信息技术手段和数字资源把</w:t>
            </w:r>
            <w:proofErr w:type="gramStart"/>
            <w:r w:rsidR="005A42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思政教育</w:t>
            </w:r>
            <w:proofErr w:type="gramEnd"/>
            <w:r w:rsidR="005A42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巧妙渗透教学全过程，教学方法运用恰当，教学策略使用有效。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 w:rsidP="005A424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 w:rsidR="005A42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B24C83" w:rsidP="0035355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4C83" w:rsidTr="006D756A">
        <w:trPr>
          <w:cantSplit/>
          <w:trHeight w:val="97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B24C8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B24C83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注重教学互动，突出学生主体地位，调动学生参与课堂积极性。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 w:rsidP="005A424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 w:rsidR="005A42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B24C83" w:rsidP="0035355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D756A" w:rsidTr="005A4246">
        <w:trPr>
          <w:cantSplit/>
          <w:trHeight w:val="1078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56A" w:rsidRDefault="006D756A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教学</w:t>
            </w:r>
          </w:p>
          <w:p w:rsidR="006D756A" w:rsidRDefault="006D756A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效果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56A" w:rsidRPr="006D756A" w:rsidRDefault="006D756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D75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15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6A" w:rsidRPr="006D756A" w:rsidRDefault="006D756A" w:rsidP="005A424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D75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注重思想</w:t>
            </w:r>
            <w:r w:rsidR="005A42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政治教育和价值引领，有效达成教学目标，效果明显。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6A" w:rsidRDefault="006D756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6A" w:rsidRDefault="006D756A" w:rsidP="0035355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D756A" w:rsidTr="006D756A">
        <w:trPr>
          <w:cantSplit/>
          <w:trHeight w:val="852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56A" w:rsidRDefault="006D756A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56A" w:rsidRPr="006D756A" w:rsidRDefault="006D756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6A" w:rsidRPr="006D756A" w:rsidRDefault="005A424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教学感染力强，课堂教学气氛好。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6A" w:rsidRDefault="006D756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6A" w:rsidRDefault="006D756A" w:rsidP="0035355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D756A" w:rsidTr="006D756A">
        <w:trPr>
          <w:cantSplit/>
          <w:trHeight w:val="978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6A" w:rsidRDefault="006D756A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6A" w:rsidRPr="006D756A" w:rsidRDefault="006D756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6A" w:rsidRPr="006D756A" w:rsidRDefault="006D756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D756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能够为学生搭建课外学习平台，引导学生进行自主学习和自主评价</w:t>
            </w:r>
            <w:r w:rsidR="005A424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6A" w:rsidRDefault="006D756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6A" w:rsidRDefault="006D756A" w:rsidP="0035355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4C83" w:rsidTr="0035355A">
        <w:trPr>
          <w:cantSplit/>
          <w:trHeight w:val="126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教师素养与创新特色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15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具有良好的专业素养、科学精神、人文情怀；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教态大方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，举止得体，精神饱满，综合素质高；个人教学特色突出。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B24C83" w:rsidP="0035355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4C83" w:rsidTr="0035355A">
        <w:trPr>
          <w:cantSplit/>
          <w:trHeight w:val="126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C83" w:rsidRDefault="00B24C8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B24C83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课堂教学能结合课程特色挖掘育人因素，课堂实施成效好，特色鲜明，具有较强的示范性。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9C00E4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83" w:rsidRDefault="00B24C83" w:rsidP="0035355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B24C83" w:rsidRDefault="00B24C83">
      <w:bookmarkStart w:id="0" w:name="_GoBack"/>
      <w:bookmarkEnd w:id="0"/>
    </w:p>
    <w:sectPr w:rsidR="00B24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41" w:rsidRDefault="00AD7841" w:rsidP="0035355A">
      <w:r>
        <w:separator/>
      </w:r>
    </w:p>
  </w:endnote>
  <w:endnote w:type="continuationSeparator" w:id="0">
    <w:p w:rsidR="00AD7841" w:rsidRDefault="00AD7841" w:rsidP="0035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41" w:rsidRDefault="00AD7841" w:rsidP="0035355A">
      <w:r>
        <w:separator/>
      </w:r>
    </w:p>
  </w:footnote>
  <w:footnote w:type="continuationSeparator" w:id="0">
    <w:p w:rsidR="00AD7841" w:rsidRDefault="00AD7841" w:rsidP="00353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99E"/>
    <w:rsid w:val="000028C1"/>
    <w:rsid w:val="000A60E4"/>
    <w:rsid w:val="00117F7E"/>
    <w:rsid w:val="001C5DF9"/>
    <w:rsid w:val="0026425D"/>
    <w:rsid w:val="0035355A"/>
    <w:rsid w:val="0051233A"/>
    <w:rsid w:val="005A4246"/>
    <w:rsid w:val="006D756A"/>
    <w:rsid w:val="00781D7E"/>
    <w:rsid w:val="007B599E"/>
    <w:rsid w:val="00876CF8"/>
    <w:rsid w:val="00962CAC"/>
    <w:rsid w:val="009B021D"/>
    <w:rsid w:val="009C00E4"/>
    <w:rsid w:val="00AA4D9A"/>
    <w:rsid w:val="00AC1F36"/>
    <w:rsid w:val="00AD7841"/>
    <w:rsid w:val="00B24C83"/>
    <w:rsid w:val="00B92FCA"/>
    <w:rsid w:val="00DF4B16"/>
    <w:rsid w:val="00E374F0"/>
    <w:rsid w:val="00E44E6E"/>
    <w:rsid w:val="00E67510"/>
    <w:rsid w:val="00EB017E"/>
    <w:rsid w:val="00FF687D"/>
    <w:rsid w:val="1857484A"/>
    <w:rsid w:val="66C9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李蓓春</dc:creator>
  <cp:lastModifiedBy>Sky123.Org</cp:lastModifiedBy>
  <cp:revision>11</cp:revision>
  <dcterms:created xsi:type="dcterms:W3CDTF">2018-10-24T01:32:00Z</dcterms:created>
  <dcterms:modified xsi:type="dcterms:W3CDTF">2020-11-05T02:12:00Z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